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50" w:type="dxa"/>
        <w:tblInd w:w="-321" w:type="dxa"/>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
      <w:tblGrid>
        <w:gridCol w:w="1905"/>
        <w:gridCol w:w="1486"/>
        <w:gridCol w:w="6359"/>
      </w:tblGrid>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rPr>
          <w:trHeight w:val="416" w:hRule="atLeast"/>
        </w:trPr>
        <w:tc>
          <w:tcPr>
            <w:tcW w:w="9750" w:type="dxa"/>
            <w:gridSpan w:val="3"/>
            <w:tcBorders>
              <w:tl2br w:val="nil"/>
              <w:tr2bl w:val="nil"/>
            </w:tcBorders>
            <w:shd w:val="clear" w:color="auto" w:fill="DEEBF6" w:themeFill="accent1" w:themeFillTint="32"/>
            <w:vAlign w:val="center"/>
          </w:tcPr>
          <w:p>
            <w:pPr>
              <w:jc w:val="center"/>
              <w:rPr>
                <w:rFonts w:hint="eastAsia" w:ascii="微软雅黑" w:hAnsi="微软雅黑" w:eastAsia="微软雅黑" w:cs="微软雅黑"/>
                <w:b/>
                <w:bCs w:val="0"/>
                <w:color w:val="7F7F7F" w:themeColor="background1" w:themeShade="80"/>
                <w:sz w:val="36"/>
                <w:szCs w:val="36"/>
                <w:highlight w:val="none"/>
              </w:rPr>
            </w:pPr>
            <w:r>
              <w:rPr>
                <w:rFonts w:hint="eastAsia" w:ascii="微软雅黑" w:hAnsi="微软雅黑" w:eastAsia="微软雅黑" w:cs="微软雅黑"/>
                <w:b/>
                <w:bCs w:val="0"/>
                <w:color w:val="7F7F7F" w:themeColor="background1" w:themeShade="80"/>
                <w:sz w:val="36"/>
                <w:szCs w:val="36"/>
                <w:highlight w:val="none"/>
              </w:rPr>
              <w:t>黄金</w:t>
            </w:r>
            <w:r>
              <w:rPr>
                <w:rFonts w:hint="eastAsia" w:ascii="微软雅黑" w:hAnsi="微软雅黑" w:eastAsia="微软雅黑" w:cs="微软雅黑"/>
                <w:b/>
                <w:bCs w:val="0"/>
                <w:color w:val="7F7F7F" w:themeColor="background1" w:themeShade="80"/>
                <w:sz w:val="36"/>
                <w:szCs w:val="36"/>
                <w:highlight w:val="none"/>
              </w:rPr>
              <w:t>计划</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9750" w:type="dxa"/>
            <w:gridSpan w:val="3"/>
            <w:tcBorders>
              <w:tl2br w:val="nil"/>
              <w:tr2bl w:val="nil"/>
            </w:tcBorders>
            <w:shd w:val="clear" w:color="auto" w:fill="BDD6EE" w:themeFill="accent1" w:themeFillTint="66"/>
            <w:vAlign w:val="center"/>
          </w:tcPr>
          <w:p>
            <w:pPr>
              <w:ind w:firstLine="240" w:firstLineChars="100"/>
              <w:jc w:val="center"/>
              <w:rPr>
                <w:rFonts w:hint="eastAsia" w:ascii="微软雅黑" w:hAnsi="微软雅黑" w:eastAsia="微软雅黑" w:cs="微软雅黑"/>
                <w:b/>
                <w:bCs w:val="0"/>
                <w:color w:val="7F7F7F" w:themeColor="background1" w:themeShade="80"/>
                <w:sz w:val="24"/>
                <w:szCs w:val="24"/>
                <w:highlight w:val="none"/>
              </w:rPr>
            </w:pPr>
            <w:r>
              <w:rPr>
                <w:rFonts w:hint="eastAsia" w:ascii="微软雅黑" w:hAnsi="微软雅黑" w:eastAsia="微软雅黑" w:cs="微软雅黑"/>
                <w:b/>
                <w:bCs w:val="0"/>
                <w:color w:val="FFFFFF" w:themeColor="background1"/>
                <w:sz w:val="24"/>
                <w:szCs w:val="24"/>
                <w:highlight w:val="none"/>
                <w14:textFill>
                  <w14:solidFill>
                    <w14:schemeClr w14:val="bg1"/>
                  </w14:solidFill>
                </w14:textFill>
              </w:rPr>
              <w:t>意外伤害及医疗保障</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意外</w:t>
            </w:r>
            <w:r>
              <w:rPr>
                <w:rFonts w:hint="eastAsia" w:ascii="微软雅黑" w:hAnsi="微软雅黑" w:eastAsia="微软雅黑" w:cs="微软雅黑"/>
                <w:b/>
                <w:bCs w:val="0"/>
                <w:color w:val="7F7F7F" w:themeColor="background1" w:themeShade="80"/>
                <w:highlight w:val="none"/>
              </w:rPr>
              <w:t>身故</w:t>
            </w:r>
            <w:r>
              <w:rPr>
                <w:rFonts w:hint="eastAsia" w:ascii="微软雅黑" w:hAnsi="微软雅黑" w:eastAsia="微软雅黑" w:cs="微软雅黑"/>
                <w:b/>
                <w:bCs w:val="0"/>
                <w:color w:val="7F7F7F" w:themeColor="background1" w:themeShade="80"/>
                <w:highlight w:val="none"/>
              </w:rPr>
              <w:t xml:space="preserve">/伤残 </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10万</w:t>
            </w:r>
          </w:p>
        </w:tc>
        <w:tc>
          <w:tcPr>
            <w:tcW w:w="6359" w:type="dxa"/>
            <w:tcBorders>
              <w:tl2br w:val="nil"/>
              <w:tr2bl w:val="nil"/>
            </w:tcBorders>
            <w:vAlign w:val="center"/>
          </w:tcPr>
          <w:p>
            <w:pPr>
              <w:ind w:firstLine="210" w:firstLineChars="100"/>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在保险期间内被保险人在境外旅行期间遭受意外伤害，并自意外伤害发生之日起180日内因该意外伤害身故的，保险人按保险金额给付身故保险金，对该被保险人的保险责任终止；</w:t>
            </w:r>
          </w:p>
          <w:p>
            <w:pPr>
              <w:ind w:firstLine="210" w:firstLineChars="100"/>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在保险期间内被保险人在境外旅行期间遭受意外伤害，并自该意外伤害发生之日起180日内因该意外伤害造成本保险合同所附《人身保险残疾程度与保险金给付比例表》所列残疾程度之一的，保险人按该表所列给付比例乘以保险金额给付残疾保险金。如第180日治疗仍未结束的，按当日的身体情况进行残疾鉴定，并据此给付残疾保险金。</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意外医疗费用补偿</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30万（每人每次意外事故免赔额500元，累计给付后续医疗保险金占保险金额的比例10</w:t>
            </w:r>
            <w:r>
              <w:rPr>
                <w:rFonts w:hint="eastAsia" w:ascii="微软雅黑" w:hAnsi="微软雅黑" w:eastAsia="微软雅黑" w:cs="微软雅黑"/>
                <w:b/>
                <w:bCs w:val="0"/>
                <w:color w:val="7F7F7F" w:themeColor="background1" w:themeShade="80"/>
                <w:highlight w:val="none"/>
              </w:rPr>
              <w:t>%</w:t>
            </w:r>
            <w:r>
              <w:rPr>
                <w:rFonts w:hint="eastAsia" w:ascii="微软雅黑" w:hAnsi="微软雅黑" w:eastAsia="微软雅黑" w:cs="微软雅黑"/>
                <w:b/>
                <w:bCs w:val="0"/>
                <w:color w:val="7F7F7F" w:themeColor="background1" w:themeShade="80"/>
                <w:highlight w:val="none"/>
              </w:rPr>
              <w:t>）</w:t>
            </w:r>
          </w:p>
        </w:tc>
        <w:tc>
          <w:tcPr>
            <w:tcW w:w="6359"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在保险期间内，如任何被保险人在境外旅行期间罹患疾病或遭受意外伤害，并自该意外伤害发生之日或罹患疾病之日起90天内在医疗机构进行治疗，对于在上述90天内发生的必需且合理的医疗费用，保险人在扣除免赔额后，按照赔付比例给付医疗费用补偿保险金。</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9750" w:type="dxa"/>
            <w:gridSpan w:val="3"/>
            <w:tcBorders>
              <w:tl2br w:val="nil"/>
              <w:tr2bl w:val="nil"/>
            </w:tcBorders>
            <w:shd w:val="clear" w:color="auto" w:fill="BDD6EE" w:themeFill="accent1" w:themeFillTint="66"/>
            <w:vAlign w:val="center"/>
          </w:tcPr>
          <w:p>
            <w:pPr>
              <w:ind w:firstLine="240" w:firstLineChars="100"/>
              <w:jc w:val="center"/>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FFFFFF" w:themeColor="background1"/>
                <w:sz w:val="24"/>
                <w:szCs w:val="24"/>
                <w:highlight w:val="none"/>
                <w14:textFill>
                  <w14:solidFill>
                    <w14:schemeClr w14:val="bg1"/>
                  </w14:solidFill>
                </w14:textFill>
              </w:rPr>
              <w:t>紧急救援保障</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紧急医疗运送和运返费用补偿</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40万</w:t>
            </w:r>
          </w:p>
        </w:tc>
        <w:tc>
          <w:tcPr>
            <w:tcW w:w="6359" w:type="dxa"/>
            <w:tcBorders>
              <w:tl2br w:val="nil"/>
              <w:tr2bl w:val="nil"/>
            </w:tcBorders>
            <w:vAlign w:val="center"/>
          </w:tcPr>
          <w:p>
            <w:pPr>
              <w:ind w:firstLine="210" w:firstLineChars="100"/>
              <w:jc w:val="left"/>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 xml:space="preserve">在保险期间内，被保险人在境外旅行期间遭遇意外伤害或罹患疾病,经保险人委托的救援机构（以下简称救援机构）从医疗角度认定为有运送必要的，则将该被保险人运送至当地或其他就近地区符合治疗条件的医院；经救援机构从医疗角度认定为有运返必要的，则将该被保险人运返至其合法有效证件所载的住所地。 </w:t>
            </w:r>
          </w:p>
          <w:p>
            <w:pPr>
              <w:ind w:firstLine="210" w:firstLineChars="100"/>
              <w:jc w:val="left"/>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救援机构根据该被保险人身体状况或治疗需要，并参考医生建议，有权决定运送和运返手段和目的地。运送和运返手段包括配备专业医生、护士和必要的运输工具。运输工具可能包括空中救护机、救护车、普通民航班机、火车或其他适合的运输工具。</w:t>
            </w:r>
          </w:p>
          <w:p>
            <w:pPr>
              <w:ind w:firstLine="210" w:firstLineChars="100"/>
              <w:jc w:val="left"/>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 xml:space="preserve"> 运送和运返费用包括救援机构安排的运输、运输途中医疗护理及医疗设备和用品之费用。运送和运返所需的费用经保险人核实确认后直接支付给救援机构，费用总数最高以保险单上所载的本附加险合同项下该被保险人相应的保险金额为限。倘若实际费用超越该保险金额，则超出部分的费用由被保险人负责支付。</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9750" w:type="dxa"/>
            <w:gridSpan w:val="3"/>
            <w:tcBorders>
              <w:tl2br w:val="nil"/>
              <w:tr2bl w:val="nil"/>
            </w:tcBorders>
            <w:shd w:val="clear" w:color="auto" w:fill="BDD6EE" w:themeFill="accent1" w:themeFillTint="66"/>
            <w:vAlign w:val="center"/>
          </w:tcPr>
          <w:p>
            <w:pPr>
              <w:ind w:firstLine="240" w:firstLineChars="100"/>
              <w:jc w:val="center"/>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FFFFFF" w:themeColor="background1"/>
                <w:sz w:val="24"/>
                <w:szCs w:val="24"/>
                <w:highlight w:val="none"/>
                <w14:textFill>
                  <w14:solidFill>
                    <w14:schemeClr w14:val="bg1"/>
                  </w14:solidFill>
                </w14:textFill>
              </w:rPr>
              <w:t>行程障碍保障</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酒店取消保险</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500元</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被保险人提前预订本保险合同约定的酒店客房，在支付预付房费或信用卡担保完成后，因保单列明原因，致使指定入住的客人无法按期使用酒店服务，而取消所预订的客房，造成被保险人预付房费的损失或信用卡担保金额的损失，保险人按照本保险合同的约定赔偿被保险人。</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rPr>
          <w:trHeight w:val="1689" w:hRule="atLeast"/>
        </w:trPr>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个人预定机票取消</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500元</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被保险人提前预订航空公司航班机票，在预订及支付机票价款完成并成功出票后因保单列明原因无法搭乘票面指定日期之航班而取消所预订的机票，保险人按照本保险合同约定，在保险金额的范围内赔偿被保险人已经支付且无法退回的全部或部分机票款金额损失。</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航班延误赔偿</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500</w:t>
            </w:r>
            <w:r>
              <w:rPr>
                <w:rFonts w:hint="eastAsia" w:ascii="微软雅黑" w:hAnsi="微软雅黑" w:eastAsia="微软雅黑" w:cs="微软雅黑"/>
                <w:b/>
                <w:bCs w:val="0"/>
                <w:color w:val="7F7F7F" w:themeColor="background1" w:themeShade="80"/>
                <w:highlight w:val="none"/>
              </w:rPr>
              <w:t>元（每</w:t>
            </w:r>
            <w:r>
              <w:rPr>
                <w:rFonts w:hint="eastAsia" w:ascii="微软雅黑" w:hAnsi="微软雅黑" w:eastAsia="微软雅黑" w:cs="微软雅黑"/>
                <w:b/>
                <w:bCs w:val="0"/>
                <w:color w:val="7F7F7F" w:themeColor="background1" w:themeShade="80"/>
                <w:highlight w:val="none"/>
              </w:rPr>
              <w:t>4</w:t>
            </w:r>
            <w:r>
              <w:rPr>
                <w:rFonts w:hint="eastAsia" w:ascii="微软雅黑" w:hAnsi="微软雅黑" w:eastAsia="微软雅黑" w:cs="微软雅黑"/>
                <w:b/>
                <w:bCs w:val="0"/>
                <w:color w:val="7F7F7F" w:themeColor="background1" w:themeShade="80"/>
                <w:highlight w:val="none"/>
              </w:rPr>
              <w:t>小时延误赔偿</w:t>
            </w:r>
            <w:r>
              <w:rPr>
                <w:rFonts w:hint="eastAsia" w:ascii="微软雅黑" w:hAnsi="微软雅黑" w:eastAsia="微软雅黑" w:cs="微软雅黑"/>
                <w:b/>
                <w:bCs w:val="0"/>
                <w:color w:val="7F7F7F" w:themeColor="background1" w:themeShade="80"/>
                <w:highlight w:val="none"/>
              </w:rPr>
              <w:t>250</w:t>
            </w:r>
            <w:r>
              <w:rPr>
                <w:rFonts w:hint="eastAsia" w:ascii="微软雅黑" w:hAnsi="微软雅黑" w:eastAsia="微软雅黑" w:cs="微软雅黑"/>
                <w:b/>
                <w:bCs w:val="0"/>
                <w:color w:val="7F7F7F" w:themeColor="background1" w:themeShade="80"/>
                <w:highlight w:val="none"/>
              </w:rPr>
              <w:t>元）</w:t>
            </w:r>
          </w:p>
        </w:tc>
        <w:tc>
          <w:tcPr>
            <w:tcW w:w="6359" w:type="dxa"/>
            <w:tcBorders>
              <w:tl2br w:val="nil"/>
              <w:tr2bl w:val="nil"/>
            </w:tcBorders>
            <w:vAlign w:val="center"/>
          </w:tcPr>
          <w:p>
            <w:pPr>
              <w:snapToGrid w:val="0"/>
              <w:spacing w:after="156" w:afterLines="5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若被保险人在境外旅行期间因下列原因导致被保险人原计划乘搭的航班延误，且延误连续达到或超过保险单载明的延误时数的，保险人依据赔付标准，以该被保险人的保险金额为限支付保险金。延误时数、赔付标准和保险金额以保险单所载本附加险合同项下的相应数额为准：恶劣天气；劫持；自然灾害；机械故障；航空公司雇员罢工、怠工，或其他劳工行动；恐怖分子行为；航空管制或航空公司超售。(若被保险人有连续的接驳航班，因上述事故而导致不能顺利乘搭计划接驳航班，其等候的时间不可累积计算。)</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9750" w:type="dxa"/>
            <w:gridSpan w:val="3"/>
            <w:tcBorders>
              <w:tl2br w:val="nil"/>
              <w:tr2bl w:val="nil"/>
            </w:tcBorders>
            <w:shd w:val="clear" w:color="auto" w:fill="BDD6EE" w:themeFill="accent1" w:themeFillTint="66"/>
            <w:vAlign w:val="center"/>
          </w:tcPr>
          <w:p>
            <w:pPr>
              <w:ind w:firstLine="240" w:firstLineChars="100"/>
              <w:jc w:val="center"/>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FFFFFF" w:themeColor="background1"/>
                <w:sz w:val="24"/>
                <w:szCs w:val="24"/>
                <w:highlight w:val="none"/>
                <w14:textFill>
                  <w14:solidFill>
                    <w14:schemeClr w14:val="bg1"/>
                  </w14:solidFill>
                </w14:textFill>
              </w:rPr>
              <w:t>附加保障</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旅行证件丢失</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10</w:t>
            </w:r>
            <w:r>
              <w:rPr>
                <w:rFonts w:hint="eastAsia" w:ascii="微软雅黑" w:hAnsi="微软雅黑" w:eastAsia="微软雅黑" w:cs="微软雅黑"/>
                <w:b/>
                <w:bCs w:val="0"/>
                <w:color w:val="7F7F7F" w:themeColor="background1" w:themeShade="80"/>
                <w:highlight w:val="none"/>
              </w:rPr>
              <w:t>0</w:t>
            </w:r>
            <w:r>
              <w:rPr>
                <w:rFonts w:hint="eastAsia" w:ascii="微软雅黑" w:hAnsi="微软雅黑" w:eastAsia="微软雅黑" w:cs="微软雅黑"/>
                <w:b/>
                <w:bCs w:val="0"/>
                <w:color w:val="7F7F7F" w:themeColor="background1" w:themeShade="80"/>
                <w:highlight w:val="none"/>
              </w:rPr>
              <w:t>0元（每次</w:t>
            </w:r>
            <w:r>
              <w:rPr>
                <w:rFonts w:hint="eastAsia" w:ascii="微软雅黑" w:hAnsi="微软雅黑" w:eastAsia="微软雅黑" w:cs="微软雅黑"/>
                <w:b/>
                <w:bCs w:val="0"/>
                <w:color w:val="7F7F7F" w:themeColor="background1" w:themeShade="80"/>
                <w:highlight w:val="none"/>
              </w:rPr>
              <w:t>免赔额</w:t>
            </w:r>
            <w:r>
              <w:rPr>
                <w:rFonts w:hint="eastAsia" w:ascii="微软雅黑" w:hAnsi="微软雅黑" w:eastAsia="微软雅黑" w:cs="微软雅黑"/>
                <w:b/>
                <w:bCs w:val="0"/>
                <w:color w:val="7F7F7F" w:themeColor="background1" w:themeShade="80"/>
                <w:highlight w:val="none"/>
              </w:rPr>
              <w:t>100元）</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若被保险人在境外旅行期间因被抢劫或被盗窃导致护照、旅行票据或其它旅行证件丢失，且在发现损失后二十四小时内向当地警方申报并取得书面警方报告，保险人赔偿被保险人因重置护照、旅行票据及其它旅行证件的费用,包括额外支出的合理且必需的旅行费用及酒店住宿费用，最高以保险单所载本附加险合同项下的保险金额为限。</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个人责任</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50万</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在保险期间内，被保险人在境外旅行期间因疏忽或过失行为造成第三方死亡、身体伤害或财产损失，依法应由被保险人承担的经济赔偿责任，保险人以保险单所载的本附加险合同项下的责任限额为限负责赔偿。</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widowControl/>
              <w:spacing w:line="0" w:lineRule="atLeas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高风险运动意外伤害保障</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包含</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在保险期间内，被保险人因从事下列高风险运动遭受保险合同责任范围内的意外伤害事故，保险人按照保险合同的约定承担给付保险金的责任：</w:t>
            </w:r>
          </w:p>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潜水、滑翔、滑雪、急流漂筏、蹦极、热气球、冲浪、跳伞、攀岩、登山、探险、热气球运动、特技表演等</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widowControl/>
              <w:spacing w:line="0" w:lineRule="atLeas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劫机、旅行绑架及非法拘禁</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包含</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在保险期间内，被保险人在旅行期间乘坐的飞机发生劫机事件的，保险人按照本附加险合同的约定负责赔偿。</w:t>
            </w:r>
          </w:p>
        </w:tc>
      </w:tr>
      <w:tr>
        <w:tblPrEx>
          <w:tblBorders>
            <w:top w:val="single" w:color="9CC2E5" w:themeColor="accent1" w:themeTint="99" w:sz="8" w:space="0"/>
            <w:left w:val="single" w:color="9CC2E5" w:themeColor="accent1" w:themeTint="99" w:sz="8" w:space="0"/>
            <w:bottom w:val="single" w:color="9CC2E5" w:themeColor="accent1" w:themeTint="99" w:sz="8" w:space="0"/>
            <w:right w:val="single" w:color="9CC2E5" w:themeColor="accent1" w:themeTint="99" w:sz="8" w:space="0"/>
            <w:insideH w:val="single" w:color="9CC2E5" w:themeColor="accent1" w:themeTint="99" w:sz="8" w:space="0"/>
            <w:insideV w:val="single" w:color="9CC2E5" w:themeColor="accent1" w:themeTint="99" w:sz="8" w:space="0"/>
          </w:tblBorders>
          <w:tblLayout w:type="fixed"/>
          <w:tblCellMar>
            <w:top w:w="0" w:type="dxa"/>
            <w:left w:w="108" w:type="dxa"/>
            <w:bottom w:w="0" w:type="dxa"/>
            <w:right w:w="108" w:type="dxa"/>
          </w:tblCellMar>
        </w:tblPrEx>
        <w:tc>
          <w:tcPr>
            <w:tcW w:w="1905" w:type="dxa"/>
            <w:tcBorders>
              <w:tl2br w:val="nil"/>
              <w:tr2bl w:val="nil"/>
            </w:tcBorders>
            <w:vAlign w:val="center"/>
          </w:tcPr>
          <w:p>
            <w:pPr>
              <w:widowControl/>
              <w:spacing w:line="0" w:lineRule="atLeas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24小时全球紧急支援服务</w:t>
            </w:r>
          </w:p>
        </w:tc>
        <w:tc>
          <w:tcPr>
            <w:tcW w:w="1486" w:type="dxa"/>
            <w:tcBorders>
              <w:tl2br w:val="nil"/>
              <w:tr2bl w:val="nil"/>
            </w:tcBorders>
            <w:vAlign w:val="center"/>
          </w:tcPr>
          <w:p>
            <w:pPr>
              <w:jc w:val="left"/>
              <w:rPr>
                <w:rFonts w:hint="eastAsia" w:ascii="微软雅黑" w:hAnsi="微软雅黑" w:eastAsia="微软雅黑" w:cs="微软雅黑"/>
                <w:b/>
                <w:bCs w:val="0"/>
                <w:color w:val="7F7F7F" w:themeColor="background1" w:themeShade="80"/>
                <w:highlight w:val="none"/>
              </w:rPr>
            </w:pPr>
            <w:r>
              <w:rPr>
                <w:rFonts w:hint="eastAsia" w:ascii="微软雅黑" w:hAnsi="微软雅黑" w:eastAsia="微软雅黑" w:cs="微软雅黑"/>
                <w:b/>
                <w:bCs w:val="0"/>
                <w:color w:val="7F7F7F" w:themeColor="background1" w:themeShade="80"/>
                <w:highlight w:val="none"/>
              </w:rPr>
              <w:t>包含</w:t>
            </w:r>
          </w:p>
        </w:tc>
        <w:tc>
          <w:tcPr>
            <w:tcW w:w="6359" w:type="dxa"/>
            <w:tcBorders>
              <w:tl2br w:val="nil"/>
              <w:tr2bl w:val="nil"/>
            </w:tcBorders>
            <w:vAlign w:val="center"/>
          </w:tcPr>
          <w:p>
            <w:pPr>
              <w:ind w:firstLine="210" w:firstLineChars="100"/>
              <w:rPr>
                <w:rFonts w:hint="eastAsia" w:ascii="微软雅黑" w:hAnsi="微软雅黑" w:eastAsia="微软雅黑" w:cs="微软雅黑"/>
                <w:b/>
                <w:bCs w:val="0"/>
                <w:color w:val="7F7F7F" w:themeColor="background1" w:themeShade="80"/>
                <w:position w:val="9"/>
                <w:szCs w:val="21"/>
                <w:highlight w:val="none"/>
              </w:rPr>
            </w:pPr>
            <w:r>
              <w:rPr>
                <w:rFonts w:hint="eastAsia" w:ascii="微软雅黑" w:hAnsi="微软雅黑" w:eastAsia="微软雅黑" w:cs="微软雅黑"/>
                <w:b/>
                <w:bCs w:val="0"/>
                <w:color w:val="7F7F7F" w:themeColor="background1" w:themeShade="80"/>
                <w:position w:val="9"/>
                <w:szCs w:val="21"/>
                <w:highlight w:val="none"/>
              </w:rPr>
              <w:t>保险单上载明救援24小时专线服务电话或理赔服务联系人电话，我们会给您提供最好的建议和满意的紧急医疗救援服务</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D28C1"/>
    <w:rsid w:val="59BD28C1"/>
    <w:rsid w:val="7A893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2019-07-25T02:41:00Z</dcterms:created>
  <dc:creator>Ruby </dc:creator>
  <cp:lastModifiedBy>Ruby </cp:lastModifiedBy>
  <dcterms:modified xsi:type="dcterms:W3CDTF">2019-07-25T02:53:11Z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