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20" w:type="dxa"/>
        <w:tblInd w:w="-2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465"/>
        <w:gridCol w:w="1965"/>
        <w:gridCol w:w="3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3465" w:type="dxa"/>
            <w:vMerge w:val="restart"/>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保障范围</w:t>
            </w:r>
          </w:p>
        </w:tc>
        <w:tc>
          <w:tcPr>
            <w:tcW w:w="1965" w:type="dxa"/>
            <w:tcBorders>
              <w:top w:val="single" w:color="000000" w:sz="4" w:space="0"/>
              <w:left w:val="single" w:color="000000" w:sz="4" w:space="0"/>
              <w:bottom w:val="single" w:color="000000" w:sz="4" w:space="0"/>
              <w:right w:val="single" w:color="000000" w:sz="4" w:space="0"/>
            </w:tcBorders>
            <w:shd w:val="clear" w:color="auto" w:fill="C5D9F1"/>
            <w:vAlign w:val="center"/>
          </w:tcPr>
          <w:p>
            <w:pPr>
              <w:jc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保额（元）</w:t>
            </w:r>
          </w:p>
        </w:tc>
        <w:tc>
          <w:tcPr>
            <w:tcW w:w="3690" w:type="dxa"/>
            <w:vMerge w:val="restart"/>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摘要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465" w:type="dxa"/>
            <w:vMerge w:val="continue"/>
            <w:tcBorders>
              <w:top w:val="single" w:color="000000" w:sz="4" w:space="0"/>
              <w:left w:val="single" w:color="000000" w:sz="4" w:space="0"/>
              <w:bottom w:val="single" w:color="000000" w:sz="4" w:space="0"/>
              <w:right w:val="single" w:color="000000" w:sz="4" w:space="0"/>
            </w:tcBorders>
            <w:shd w:val="clear" w:color="auto" w:fill="C5D9F1"/>
            <w:vAlign w:val="center"/>
          </w:tcPr>
          <w:p>
            <w:pPr>
              <w:jc w:val="center"/>
              <w:rPr>
                <w:rFonts w:hint="eastAsia" w:ascii="微软雅黑" w:hAnsi="微软雅黑" w:eastAsia="微软雅黑" w:cs="微软雅黑"/>
                <w:b/>
                <w:i w:val="0"/>
                <w:color w:val="000000"/>
                <w:sz w:val="28"/>
                <w:szCs w:val="28"/>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C5D9F1"/>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bookmarkStart w:id="0" w:name="_GoBack"/>
            <w:r>
              <w:rPr>
                <w:rFonts w:hint="eastAsia" w:ascii="微软雅黑" w:hAnsi="微软雅黑" w:eastAsia="微软雅黑" w:cs="微软雅黑"/>
                <w:b/>
                <w:i w:val="0"/>
                <w:color w:val="000000"/>
                <w:kern w:val="0"/>
                <w:sz w:val="22"/>
                <w:szCs w:val="22"/>
                <w:u w:val="none"/>
                <w:lang w:val="en-US" w:eastAsia="zh-CN" w:bidi="ar"/>
              </w:rPr>
              <w:t>计划一(经济型)</w:t>
            </w:r>
            <w:bookmarkEnd w:id="0"/>
          </w:p>
        </w:tc>
        <w:tc>
          <w:tcPr>
            <w:tcW w:w="3690" w:type="dxa"/>
            <w:vMerge w:val="continue"/>
            <w:tcBorders>
              <w:top w:val="single" w:color="000000" w:sz="4" w:space="0"/>
              <w:left w:val="single" w:color="000000" w:sz="4" w:space="0"/>
              <w:bottom w:val="single" w:color="000000" w:sz="4" w:space="0"/>
              <w:right w:val="single" w:color="000000" w:sz="4" w:space="0"/>
            </w:tcBorders>
            <w:shd w:val="clear" w:color="auto" w:fill="C5D9F1"/>
            <w:vAlign w:val="center"/>
          </w:tcPr>
          <w:p>
            <w:pPr>
              <w:jc w:val="center"/>
              <w:rPr>
                <w:rFonts w:hint="eastAsia" w:ascii="微软雅黑" w:hAnsi="微软雅黑" w:eastAsia="微软雅黑" w:cs="微软雅黑"/>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120" w:type="dxa"/>
            <w:gridSpan w:val="3"/>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意外伤害及医疗保障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意外伤害身故、残疾保障</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100000</w:t>
            </w:r>
          </w:p>
        </w:tc>
        <w:tc>
          <w:tcPr>
            <w:tcW w:w="3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在旅行期间因意外事故导致身故、残疾，我们将一次性给付保险金。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意外和急性病医疗保障</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50000</w:t>
            </w:r>
          </w:p>
        </w:tc>
        <w:tc>
          <w:tcPr>
            <w:tcW w:w="3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赔偿旅行期间因意外事故或罹患突发性疾病而实际支付的医疗费用。（其中辅助器材限额2500元，牙科门诊限额4000元）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120" w:type="dxa"/>
            <w:gridSpan w:val="3"/>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境外旅行不便保障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保险期限顺延保障</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7天</w:t>
            </w:r>
          </w:p>
        </w:tc>
        <w:tc>
          <w:tcPr>
            <w:tcW w:w="3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旅行期间遭遇不可抗力事件导致旅行延期，保险责任可延长至被保险人返回境内为止。（延期最长不超过7天）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120" w:type="dxa"/>
            <w:gridSpan w:val="3"/>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旅行期间个人财物损失保障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旅行证件损失</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1000</w:t>
            </w:r>
          </w:p>
        </w:tc>
        <w:tc>
          <w:tcPr>
            <w:tcW w:w="3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因遭受抢劫或盗窃，导致被保险人损失旅行票证（护照、旅行交通票据及其他为完成该次旅行所必需的证件）的，赔偿被保险人为重置旅行票证的费用。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120" w:type="dxa"/>
            <w:gridSpan w:val="3"/>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旅行期间个人责任保障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第三者人身伤亡或财产损失</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50000</w:t>
            </w:r>
          </w:p>
        </w:tc>
        <w:tc>
          <w:tcPr>
            <w:tcW w:w="3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旅行期间因过失发生意外事故导致第三者人身伤亡或财产直接损失及法律费用。（第三者财产损失每次事故绝对免赔额800元）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120" w:type="dxa"/>
            <w:gridSpan w:val="3"/>
            <w:tcBorders>
              <w:top w:val="single" w:color="000000" w:sz="4" w:space="0"/>
              <w:left w:val="single" w:color="000000" w:sz="4" w:space="0"/>
              <w:bottom w:val="single" w:color="000000" w:sz="4" w:space="0"/>
              <w:right w:val="single" w:color="000000" w:sz="4" w:space="0"/>
            </w:tcBorders>
            <w:shd w:val="clear" w:color="auto" w:fill="8DB4E2"/>
            <w:vAlign w:val="center"/>
          </w:tcPr>
          <w:p>
            <w:pPr>
              <w:keepNext w:val="0"/>
              <w:keepLines w:val="0"/>
              <w:widowControl/>
              <w:suppressLineNumbers w:val="0"/>
              <w:jc w:val="center"/>
              <w:textAlignment w:val="center"/>
              <w:rPr>
                <w:rFonts w:hint="eastAsia" w:ascii="微软雅黑" w:hAnsi="微软雅黑" w:eastAsia="微软雅黑" w:cs="微软雅黑"/>
                <w:b/>
                <w:i w:val="0"/>
                <w:color w:val="FFFFFF"/>
                <w:sz w:val="28"/>
                <w:szCs w:val="28"/>
                <w:u w:val="none"/>
              </w:rPr>
            </w:pPr>
            <w:r>
              <w:rPr>
                <w:rFonts w:hint="eastAsia" w:ascii="微软雅黑" w:hAnsi="微软雅黑" w:eastAsia="微软雅黑" w:cs="微软雅黑"/>
                <w:b/>
                <w:i w:val="0"/>
                <w:color w:val="FFFFFF"/>
                <w:kern w:val="0"/>
                <w:sz w:val="28"/>
                <w:szCs w:val="28"/>
                <w:u w:val="none"/>
                <w:lang w:val="en-US" w:eastAsia="zh-CN" w:bidi="ar"/>
              </w:rPr>
              <w:t>境外紧急救援保障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紧急医疗运送和运返</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500000</w:t>
            </w:r>
          </w:p>
        </w:tc>
        <w:tc>
          <w:tcPr>
            <w:tcW w:w="3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因保险事故，根据病情需要且当地医院条件不能保证被保险人得到充分的救治时，救援服务机构提供紧急医疗运送和运返服务。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身故送返</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200000</w:t>
            </w:r>
          </w:p>
        </w:tc>
        <w:tc>
          <w:tcPr>
            <w:tcW w:w="3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因保险事故直接导致被保险人于三十（30）天内在旅途中身故的，救援服务机构提供遗体和骨灰运返服务及丧葬费补偿。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亲属前往处理后事补偿</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6500</w:t>
            </w:r>
          </w:p>
        </w:tc>
        <w:tc>
          <w:tcPr>
            <w:tcW w:w="3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因保险事故预计住院时间超过八（8）日(不包括8日)，可提供一名直系亲属前往探望的普通经济舱往返机票或其他交通费用及住宿费用。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3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亲属慰问探访补偿</w:t>
            </w:r>
          </w:p>
        </w:tc>
        <w:tc>
          <w:tcPr>
            <w:tcW w:w="19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13000</w:t>
            </w:r>
          </w:p>
        </w:tc>
        <w:tc>
          <w:tcPr>
            <w:tcW w:w="3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发生保险事故预计住院时间超过八（8）日(不包括8日)，可提供一名直系亲属前往探望的普通经济舱往返机票或其他交通费用及住宿费用。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875BE"/>
    <w:rsid w:val="2A187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2019-04-02T09:30:00Z</dcterms:created>
  <dc:creator>Ruby </dc:creator>
  <cp:lastModifiedBy>Ruby </cp:lastModifiedBy>
  <dcterms:modified xsi:type="dcterms:W3CDTF">2019-04-02T09:34:45Z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