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Layout w:type="fixed"/>
        <w:tblCellMar>
          <w:top w:w="15" w:type="dxa"/>
          <w:left w:w="15" w:type="dxa"/>
          <w:bottom w:w="15" w:type="dxa"/>
          <w:right w:w="15" w:type="dxa"/>
        </w:tblCellMar>
        <w:tblLook w:val="04A0"/>
      </w:tblPr>
      <w:tblGrid>
        <w:gridCol w:w="3081"/>
        <w:gridCol w:w="1800"/>
        <w:gridCol w:w="4275"/>
      </w:tblGrid>
      <w:tr w:rsidR="00200149">
        <w:trPr>
          <w:trHeight w:val="420"/>
        </w:trPr>
        <w:tc>
          <w:tcPr>
            <w:tcW w:w="3081"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C15584">
            <w:pPr>
              <w:widowControl/>
              <w:jc w:val="center"/>
              <w:textAlignment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保障范围</w:t>
            </w:r>
          </w:p>
        </w:tc>
        <w:tc>
          <w:tcPr>
            <w:tcW w:w="1800"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C15584">
            <w:pPr>
              <w:jc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保额（元）</w:t>
            </w:r>
          </w:p>
        </w:tc>
        <w:tc>
          <w:tcPr>
            <w:tcW w:w="4275"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C15584">
            <w:pPr>
              <w:widowControl/>
              <w:jc w:val="center"/>
              <w:textAlignment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kern w:val="0"/>
                <w:sz w:val="28"/>
                <w:szCs w:val="28"/>
              </w:rPr>
              <w:t>摘要</w:t>
            </w:r>
          </w:p>
        </w:tc>
      </w:tr>
      <w:tr w:rsidR="00200149">
        <w:trPr>
          <w:trHeight w:val="301"/>
        </w:trPr>
        <w:tc>
          <w:tcPr>
            <w:tcW w:w="3081"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200149">
            <w:pPr>
              <w:jc w:val="center"/>
              <w:rPr>
                <w:rFonts w:ascii="微软雅黑" w:eastAsia="微软雅黑" w:hAnsi="微软雅黑" w:cs="微软雅黑"/>
                <w:b/>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C15584">
            <w:pPr>
              <w:widowControl/>
              <w:jc w:val="center"/>
              <w:textAlignment w:val="center"/>
              <w:rPr>
                <w:rFonts w:ascii="微软雅黑" w:eastAsia="微软雅黑" w:hAnsi="微软雅黑" w:cs="微软雅黑"/>
                <w:b/>
                <w:color w:val="000000"/>
                <w:sz w:val="22"/>
                <w:szCs w:val="22"/>
              </w:rPr>
            </w:pPr>
            <w:bookmarkStart w:id="0" w:name="_GoBack"/>
            <w:r>
              <w:rPr>
                <w:rFonts w:ascii="微软雅黑" w:eastAsia="微软雅黑" w:hAnsi="微软雅黑" w:cs="微软雅黑" w:hint="eastAsia"/>
                <w:b/>
                <w:color w:val="000000"/>
                <w:kern w:val="0"/>
                <w:sz w:val="22"/>
                <w:szCs w:val="22"/>
              </w:rPr>
              <w:t>计划三(豪华型)</w:t>
            </w:r>
            <w:bookmarkEnd w:id="0"/>
          </w:p>
        </w:tc>
        <w:tc>
          <w:tcPr>
            <w:tcW w:w="4275"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200149" w:rsidRDefault="00200149">
            <w:pPr>
              <w:jc w:val="center"/>
              <w:rPr>
                <w:rFonts w:ascii="微软雅黑" w:eastAsia="微软雅黑" w:hAnsi="微软雅黑" w:cs="微软雅黑"/>
                <w:b/>
                <w:color w:val="000000"/>
                <w:sz w:val="28"/>
                <w:szCs w:val="28"/>
              </w:rPr>
            </w:pPr>
          </w:p>
        </w:tc>
      </w:tr>
      <w:tr w:rsidR="00200149">
        <w:trPr>
          <w:trHeight w:val="420"/>
        </w:trPr>
        <w:tc>
          <w:tcPr>
            <w:tcW w:w="9156"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00149" w:rsidRDefault="00C15584">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意外伤害及医疗保障</w:t>
            </w:r>
          </w:p>
        </w:tc>
      </w:tr>
      <w:tr w:rsidR="00200149">
        <w:trPr>
          <w:trHeight w:val="66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意外伤害身故、残疾保障</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在旅行期间因意外事故导致身故、残疾，我们将一次性给付保险金。</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公共交通工具意外身故双倍给付</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旅行期间以乘客身份乘坐公共交通工具时发生交通意外伤害事故，并自事故发生之日起一百八十日内因该事故身故的，负责赔偿身保险金。</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急性病身故和全残保障</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旅行期间突发急性病，并在该疾病发生后一百八十日内因该急性病身故或鉴定为一级伤残的，保险人一次性给付身故或全残保险金。</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意外和急性病医疗保障</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400000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赔偿旅行期间因意外事故或罹患突发性疾病而实际支付的医疗费用。（其中辅助器材限额2500元，牙科门诊限额4000元）</w:t>
            </w:r>
          </w:p>
        </w:tc>
      </w:tr>
      <w:tr w:rsidR="00200149">
        <w:trPr>
          <w:trHeight w:val="66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意外和急性病住院津贴</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150元/天</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补偿旅行中因意外事故或罹患突发性疾病的住院津贴</w:t>
            </w:r>
          </w:p>
        </w:tc>
      </w:tr>
      <w:tr w:rsidR="00200149">
        <w:trPr>
          <w:trHeight w:val="420"/>
        </w:trPr>
        <w:tc>
          <w:tcPr>
            <w:tcW w:w="9156"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00149" w:rsidRDefault="00C15584">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境外旅行不便保障</w:t>
            </w:r>
          </w:p>
        </w:tc>
      </w:tr>
      <w:tr w:rsidR="00200149">
        <w:trPr>
          <w:trHeight w:val="165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旅程延误</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620056">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因恶劣天气、自然灾害、机械故障、罢工、劫持或怠工，其他空运、航运工人的临时性抗议活动、恐怖主义行为、航空管制或航空</w:t>
            </w:r>
            <w:r>
              <w:rPr>
                <w:rFonts w:ascii="微软雅黑" w:eastAsia="微软雅黑" w:hAnsi="微软雅黑" w:cs="微软雅黑" w:hint="eastAsia"/>
                <w:color w:val="000000"/>
                <w:kern w:val="0"/>
                <w:sz w:val="22"/>
                <w:szCs w:val="22"/>
              </w:rPr>
              <w:lastRenderedPageBreak/>
              <w:t>公司超售，导致原计划乘搭的公共交通工具延误。</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lastRenderedPageBreak/>
              <w:t>托运行李延误</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620056">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rsidP="00505B9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旅行期间的托运行李在其所乘的公共交通工具抵达预定目的地后，未送抵的。</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保险期限顺延保障</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7天</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旅行期间遭遇不可抗力事件导致旅行延期，保险责任可延长至被保险人返回境内为止。（延期最长不超过7天）</w:t>
            </w:r>
          </w:p>
        </w:tc>
      </w:tr>
      <w:tr w:rsidR="00200149">
        <w:trPr>
          <w:trHeight w:val="420"/>
        </w:trPr>
        <w:tc>
          <w:tcPr>
            <w:tcW w:w="9156"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00149" w:rsidRDefault="00C15584">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旅行期间个人财物损失保障</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托运行李物品损失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赔偿旅行期间处于运输机构掌控之下的托运行李因运输机构或任何其他第三方的责任而致遗失或意外损坏损失。</w:t>
            </w:r>
          </w:p>
        </w:tc>
      </w:tr>
      <w:tr w:rsidR="00200149">
        <w:trPr>
          <w:trHeight w:val="66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随身行李损失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赔偿旅行期间因本保险所载风险所致随身行李遗失或意外损坏的损失。</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旅行证件损失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因遭受抢劫或盗窃，导致被保险人损失旅行票证（护照、旅行交通票据及其他为完成该次旅行所必需的证件）的，赔偿被保险人为重置旅行票证的费用。</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旅行期间家庭财产保障</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5000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赔偿旅行期间因本保险所载风险造成被保险人境内常住地的室内保险财产的直接损失或损坏的损失。</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lastRenderedPageBreak/>
              <w:t>银行卡、支票盗抢账款损失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旅行期间被保险人携带的银行卡、支票在旅行期间丢失、遭盗窃、抢劫、抢夺所致的损失；发生事故须在二十四小时内挂失并报险。</w:t>
            </w:r>
          </w:p>
        </w:tc>
      </w:tr>
      <w:tr w:rsidR="00200149">
        <w:trPr>
          <w:trHeight w:val="420"/>
        </w:trPr>
        <w:tc>
          <w:tcPr>
            <w:tcW w:w="9156"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00149" w:rsidRDefault="00C15584">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旅行期间个人责任保障</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第三者人身伤亡或财产损失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300000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旅行期间因过失发生意外事故导致第三者人身伤亡或财产直接损失及法律费用。（第三者财产损失每次事故绝对免赔额800元）</w:t>
            </w:r>
          </w:p>
        </w:tc>
      </w:tr>
      <w:tr w:rsidR="00200149">
        <w:trPr>
          <w:trHeight w:val="420"/>
        </w:trPr>
        <w:tc>
          <w:tcPr>
            <w:tcW w:w="9156" w:type="dxa"/>
            <w:gridSpan w:val="3"/>
            <w:tcBorders>
              <w:top w:val="single" w:sz="4" w:space="0" w:color="000000"/>
              <w:left w:val="single" w:sz="4" w:space="0" w:color="000000"/>
              <w:bottom w:val="single" w:sz="4" w:space="0" w:color="000000"/>
              <w:right w:val="single" w:sz="4" w:space="0" w:color="000000"/>
            </w:tcBorders>
            <w:shd w:val="clear" w:color="auto" w:fill="8DB4E2"/>
            <w:vAlign w:val="center"/>
          </w:tcPr>
          <w:p w:rsidR="00200149" w:rsidRDefault="00C15584">
            <w:pPr>
              <w:widowControl/>
              <w:jc w:val="center"/>
              <w:textAlignment w:val="center"/>
              <w:rPr>
                <w:rFonts w:ascii="微软雅黑" w:eastAsia="微软雅黑" w:hAnsi="微软雅黑" w:cs="微软雅黑"/>
                <w:b/>
                <w:color w:val="FFFFFF"/>
                <w:sz w:val="28"/>
                <w:szCs w:val="28"/>
              </w:rPr>
            </w:pPr>
            <w:r>
              <w:rPr>
                <w:rFonts w:ascii="微软雅黑" w:eastAsia="微软雅黑" w:hAnsi="微软雅黑" w:cs="微软雅黑" w:hint="eastAsia"/>
                <w:b/>
                <w:color w:val="FFFFFF"/>
                <w:kern w:val="0"/>
                <w:sz w:val="28"/>
                <w:szCs w:val="28"/>
              </w:rPr>
              <w:t>境外紧急救援保障</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紧急医疗运送和运返</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4000000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因保险事故，根据病情需要且当地医院条件不能保证被保险人得到充分的救治时，救援服务机构提供紧急医疗运送和运返服务。</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身故送返</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2500000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因保险事故直接导致被保险人于三十（30）天内在旅途中身故的，救援服务机构提供遗体和骨灰运返服务及丧葬费补偿。</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亲属前往处理后事补偿</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因保险事故预计住院时间超过八（8）日(不包括8日)，可提供一名直系亲属前往探望的普通经济舱往返机票或其他交通费用及住宿费用。</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亲属慰问探访补偿</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13000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发生保险事故预计住院时间超过八（8）日(不包括8日)，可提供一名直系亲属前往探望的普通经济舱往返机票或其他交通费用及住宿</w:t>
            </w:r>
            <w:r>
              <w:rPr>
                <w:rFonts w:ascii="微软雅黑" w:eastAsia="微软雅黑" w:hAnsi="微软雅黑" w:cs="微软雅黑" w:hint="eastAsia"/>
                <w:color w:val="000000"/>
                <w:kern w:val="0"/>
                <w:sz w:val="22"/>
                <w:szCs w:val="22"/>
              </w:rPr>
              <w:lastRenderedPageBreak/>
              <w:t>费用。</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lastRenderedPageBreak/>
              <w:t>休养期的饭店住宿</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发生保险事故住院治疗结束后因医疗上的需要应在当地休养，提供饭店及住宿补偿。</w:t>
            </w:r>
          </w:p>
        </w:tc>
      </w:tr>
      <w:tr w:rsidR="00200149">
        <w:trPr>
          <w:trHeight w:val="990"/>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未成年同行子女回国</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因保险事故导致随行未满十八周岁（含）之未成年子女无人照料，救援机构提供送返费。</w:t>
            </w:r>
          </w:p>
        </w:tc>
      </w:tr>
      <w:tr w:rsidR="00200149">
        <w:trPr>
          <w:trHeight w:val="1321"/>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left"/>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rPr>
              <w:t>紧急返回居住地国家</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6500</w:t>
            </w: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149" w:rsidRDefault="00C15584">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rPr>
              <w:t>被保险人在境外旅行期间（不包括移民）境内的直系亲属身故时，需要紧急返回居住地国家时，承担一张单程经济舱机票。</w:t>
            </w:r>
          </w:p>
        </w:tc>
      </w:tr>
    </w:tbl>
    <w:p w:rsidR="00200149" w:rsidRDefault="00200149"/>
    <w:sectPr w:rsidR="00200149" w:rsidSect="002001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3F" w:rsidRDefault="004A7A3F" w:rsidP="007B1CF5">
      <w:r>
        <w:separator/>
      </w:r>
    </w:p>
  </w:endnote>
  <w:endnote w:type="continuationSeparator" w:id="1">
    <w:p w:rsidR="004A7A3F" w:rsidRDefault="004A7A3F" w:rsidP="007B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3F" w:rsidRDefault="004A7A3F" w:rsidP="007B1CF5">
      <w:r>
        <w:separator/>
      </w:r>
    </w:p>
  </w:footnote>
  <w:footnote w:type="continuationSeparator" w:id="1">
    <w:p w:rsidR="004A7A3F" w:rsidRDefault="004A7A3F" w:rsidP="007B1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254A2D"/>
    <w:rsid w:val="00200149"/>
    <w:rsid w:val="004A7A3F"/>
    <w:rsid w:val="00505B94"/>
    <w:rsid w:val="00620056"/>
    <w:rsid w:val="007B1CF5"/>
    <w:rsid w:val="00C15584"/>
    <w:rsid w:val="00CD770F"/>
    <w:rsid w:val="07254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14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1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CF5"/>
    <w:rPr>
      <w:rFonts w:asciiTheme="minorHAnsi" w:eastAsiaTheme="minorEastAsia" w:hAnsiTheme="minorHAnsi" w:cstheme="minorBidi"/>
      <w:kern w:val="2"/>
      <w:sz w:val="18"/>
      <w:szCs w:val="18"/>
    </w:rPr>
  </w:style>
  <w:style w:type="paragraph" w:styleId="a4">
    <w:name w:val="footer"/>
    <w:basedOn w:val="a"/>
    <w:link w:val="Char0"/>
    <w:rsid w:val="007B1CF5"/>
    <w:pPr>
      <w:tabs>
        <w:tab w:val="center" w:pos="4153"/>
        <w:tab w:val="right" w:pos="8306"/>
      </w:tabs>
      <w:snapToGrid w:val="0"/>
      <w:jc w:val="left"/>
    </w:pPr>
    <w:rPr>
      <w:sz w:val="18"/>
      <w:szCs w:val="18"/>
    </w:rPr>
  </w:style>
  <w:style w:type="character" w:customStyle="1" w:styleId="Char0">
    <w:name w:val="页脚 Char"/>
    <w:basedOn w:val="a0"/>
    <w:link w:val="a4"/>
    <w:rsid w:val="007B1CF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dc:creator>
  <cp:lastModifiedBy>Windows 用户</cp:lastModifiedBy>
  <cp:revision>4</cp:revision>
  <dcterms:created xsi:type="dcterms:W3CDTF">2019-04-02T09:38:00Z</dcterms:created>
  <dcterms:modified xsi:type="dcterms:W3CDTF">2019-07-19T02:06:00Z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